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5B" w:rsidRDefault="0092251E" w:rsidP="00DD2DBC">
      <w:pPr>
        <w:jc w:val="center"/>
      </w:pPr>
      <w:r>
        <w:rPr>
          <w:noProof/>
          <w:lang w:eastAsia="en-AU"/>
        </w:rPr>
        <w:drawing>
          <wp:inline distT="0" distB="0" distL="0" distR="0" wp14:anchorId="12C9E03B" wp14:editId="65ABEE81">
            <wp:extent cx="2384368" cy="1638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926" cy="1640745"/>
                    </a:xfrm>
                    <a:prstGeom prst="rect">
                      <a:avLst/>
                    </a:prstGeom>
                    <a:noFill/>
                  </pic:spPr>
                </pic:pic>
              </a:graphicData>
            </a:graphic>
          </wp:inline>
        </w:drawing>
      </w:r>
    </w:p>
    <w:p w:rsidR="00340709" w:rsidRPr="00340709" w:rsidRDefault="00AD1CE4" w:rsidP="00340709">
      <w:pPr>
        <w:ind w:left="283" w:right="283"/>
        <w:jc w:val="center"/>
        <w:rPr>
          <w:b/>
        </w:rPr>
      </w:pPr>
      <w:r>
        <w:rPr>
          <w:b/>
        </w:rPr>
        <w:t>BUSINESS TRANSFORMATION &amp; CHANGE MANAGEMENT</w:t>
      </w:r>
    </w:p>
    <w:p w:rsidR="00575377" w:rsidRDefault="00B33BB7" w:rsidP="00575377">
      <w:pPr>
        <w:ind w:left="283" w:right="283"/>
      </w:pPr>
      <w:r>
        <w:t>Aboyne Analytics has</w:t>
      </w:r>
      <w:r w:rsidR="009A50AC" w:rsidRPr="009A50AC">
        <w:t xml:space="preserve"> </w:t>
      </w:r>
      <w:r w:rsidR="009A50AC">
        <w:t>expe</w:t>
      </w:r>
      <w:r w:rsidR="00D6647A">
        <w:t xml:space="preserve">rience and expertise across </w:t>
      </w:r>
      <w:r w:rsidR="00A92C9C">
        <w:t xml:space="preserve">both functional (corporate) and operational </w:t>
      </w:r>
      <w:r w:rsidR="00AF7D9B">
        <w:t xml:space="preserve">business transformation / change management programs. </w:t>
      </w:r>
    </w:p>
    <w:p w:rsidR="00927440" w:rsidRDefault="00927440" w:rsidP="00575377">
      <w:pPr>
        <w:ind w:left="283" w:right="283"/>
      </w:pPr>
      <w:r>
        <w:t>The foundatio</w:t>
      </w:r>
      <w:r w:rsidR="00726561">
        <w:t>n of this experience</w:t>
      </w:r>
      <w:r>
        <w:t xml:space="preserve"> and ex</w:t>
      </w:r>
      <w:r w:rsidR="00F25C6E">
        <w:t>pertise is based on</w:t>
      </w:r>
      <w:r w:rsidR="00FF001D">
        <w:t xml:space="preserve"> over 2</w:t>
      </w:r>
      <w:r w:rsidR="00572AE9">
        <w:t xml:space="preserve">0 years of </w:t>
      </w:r>
      <w:r w:rsidR="00DF70C9">
        <w:t>business transformation/change management projects</w:t>
      </w:r>
      <w:r w:rsidR="00FF001D">
        <w:t xml:space="preserve">. Three examples of </w:t>
      </w:r>
      <w:r w:rsidR="0038570D">
        <w:t xml:space="preserve">significant </w:t>
      </w:r>
      <w:r w:rsidR="00FF001D">
        <w:t>Business Transformation/Change Management Projects are provided below.</w:t>
      </w:r>
      <w:r w:rsidR="001C75C1">
        <w:t xml:space="preserve"> </w:t>
      </w:r>
      <w:r w:rsidR="002E7A60">
        <w:t>:</w:t>
      </w:r>
    </w:p>
    <w:p w:rsidR="00A425D5" w:rsidRDefault="00A425D5" w:rsidP="00575377">
      <w:pPr>
        <w:ind w:left="283" w:right="283"/>
        <w:sectPr w:rsidR="00A425D5" w:rsidSect="009A50AC">
          <w:footerReference w:type="default" r:id="rId9"/>
          <w:pgSz w:w="11906" w:h="16838"/>
          <w:pgMar w:top="720" w:right="720" w:bottom="720" w:left="720" w:header="709" w:footer="1417" w:gutter="0"/>
          <w:cols w:space="708"/>
          <w:docGrid w:linePitch="360"/>
        </w:sectPr>
      </w:pPr>
    </w:p>
    <w:p w:rsidR="00237F91" w:rsidRDefault="00237F91" w:rsidP="00237F91">
      <w:pPr>
        <w:pStyle w:val="ListParagraph"/>
        <w:numPr>
          <w:ilvl w:val="0"/>
          <w:numId w:val="1"/>
        </w:numPr>
        <w:spacing w:after="0" w:line="240" w:lineRule="auto"/>
        <w:contextualSpacing w:val="0"/>
      </w:pPr>
      <w:r>
        <w:rPr>
          <w:b/>
          <w:bCs/>
        </w:rPr>
        <w:t>IM&amp;T</w:t>
      </w:r>
      <w:r>
        <w:t xml:space="preserve"> </w:t>
      </w:r>
      <w:r w:rsidR="00B63CF3" w:rsidRPr="00B63CF3">
        <w:rPr>
          <w:b/>
        </w:rPr>
        <w:t>Transformation</w:t>
      </w:r>
      <w:r w:rsidR="00644325">
        <w:rPr>
          <w:b/>
        </w:rPr>
        <w:t>/Change Management</w:t>
      </w:r>
      <w:r w:rsidR="00B63CF3" w:rsidRPr="00B63CF3">
        <w:rPr>
          <w:b/>
        </w:rPr>
        <w:t xml:space="preserve"> </w:t>
      </w:r>
      <w:r>
        <w:t xml:space="preserve">- </w:t>
      </w:r>
      <w:r w:rsidR="00022906">
        <w:t xml:space="preserve">December 11 to June 15 - </w:t>
      </w:r>
      <w:r>
        <w:t>Cost Reduction with improved perf</w:t>
      </w:r>
      <w:r w:rsidR="00281063">
        <w:t xml:space="preserve">ormance - </w:t>
      </w:r>
      <w:r>
        <w:t>27% headcount reduction while improving performance and employee engagement – The Employee Opinion Survey (EOS) was undertaken across BAE Systems global by IBM Consultants Kenexa. Not only did IM&amp;T have significant improvement but exceeded the global Norms of High Performing Teams.</w:t>
      </w:r>
    </w:p>
    <w:tbl>
      <w:tblPr>
        <w:tblW w:w="8619" w:type="dxa"/>
        <w:tblInd w:w="920" w:type="dxa"/>
        <w:tblCellMar>
          <w:left w:w="0" w:type="dxa"/>
          <w:right w:w="0" w:type="dxa"/>
        </w:tblCellMar>
        <w:tblLook w:val="0600" w:firstRow="0" w:lastRow="0" w:firstColumn="0" w:lastColumn="0" w:noHBand="1" w:noVBand="1"/>
      </w:tblPr>
      <w:tblGrid>
        <w:gridCol w:w="7127"/>
        <w:gridCol w:w="746"/>
        <w:gridCol w:w="746"/>
      </w:tblGrid>
      <w:tr w:rsidR="00477480" w:rsidRPr="00477480" w:rsidTr="00775504">
        <w:trPr>
          <w:trHeight w:val="397"/>
        </w:trPr>
        <w:tc>
          <w:tcPr>
            <w:tcW w:w="7127"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bottom"/>
            <w:hideMark/>
          </w:tcPr>
          <w:p w:rsidR="00477480" w:rsidRPr="00477480" w:rsidRDefault="00477480" w:rsidP="00477480">
            <w:pPr>
              <w:spacing w:after="0" w:line="240" w:lineRule="auto"/>
              <w:textAlignment w:val="bottom"/>
              <w:rPr>
                <w:rFonts w:eastAsia="Times New Roman" w:cs="Arial"/>
                <w:lang w:eastAsia="en-AU"/>
              </w:rPr>
            </w:pPr>
            <w:r w:rsidRPr="00477480">
              <w:rPr>
                <w:rFonts w:eastAsia="Times New Roman" w:cs="Arial"/>
                <w:color w:val="000000"/>
                <w:kern w:val="24"/>
                <w:lang w:eastAsia="en-AU"/>
              </w:rPr>
              <w:t> </w:t>
            </w:r>
          </w:p>
        </w:tc>
        <w:tc>
          <w:tcPr>
            <w:tcW w:w="74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b/>
                <w:bCs/>
                <w:color w:val="000000"/>
                <w:kern w:val="24"/>
                <w:lang w:eastAsia="en-AU"/>
              </w:rPr>
              <w:t>2013</w:t>
            </w:r>
          </w:p>
        </w:tc>
        <w:tc>
          <w:tcPr>
            <w:tcW w:w="74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b/>
                <w:bCs/>
                <w:color w:val="000000"/>
                <w:kern w:val="24"/>
                <w:lang w:eastAsia="en-AU"/>
              </w:rPr>
              <w:t>2014</w:t>
            </w:r>
          </w:p>
        </w:tc>
      </w:tr>
      <w:tr w:rsidR="00477480" w:rsidRPr="00477480" w:rsidTr="00775504">
        <w:trPr>
          <w:trHeight w:val="331"/>
        </w:trPr>
        <w:tc>
          <w:tcPr>
            <w:tcW w:w="7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77480" w:rsidRPr="00477480" w:rsidRDefault="00477480" w:rsidP="00477480">
            <w:pPr>
              <w:spacing w:after="0" w:line="240" w:lineRule="auto"/>
              <w:textAlignment w:val="bottom"/>
              <w:rPr>
                <w:rFonts w:eastAsia="Times New Roman" w:cs="Arial"/>
                <w:lang w:eastAsia="en-AU"/>
              </w:rPr>
            </w:pPr>
            <w:r w:rsidRPr="00477480">
              <w:rPr>
                <w:rFonts w:eastAsia="Times New Roman" w:cs="Arial"/>
                <w:color w:val="000000"/>
                <w:kern w:val="24"/>
                <w:lang w:eastAsia="en-AU"/>
              </w:rPr>
              <w:t xml:space="preserve">Management creates an environment of openness and trust </w:t>
            </w:r>
          </w:p>
        </w:tc>
        <w:tc>
          <w:tcPr>
            <w:tcW w:w="746"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9C0006"/>
                <w:kern w:val="24"/>
                <w:lang w:eastAsia="en-AU"/>
              </w:rPr>
              <w:t>38%</w:t>
            </w:r>
          </w:p>
        </w:tc>
        <w:tc>
          <w:tcPr>
            <w:tcW w:w="746"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006100"/>
                <w:kern w:val="24"/>
                <w:lang w:eastAsia="en-AU"/>
              </w:rPr>
              <w:t>80%</w:t>
            </w:r>
          </w:p>
        </w:tc>
      </w:tr>
      <w:tr w:rsidR="00477480" w:rsidRPr="00477480" w:rsidTr="00775504">
        <w:trPr>
          <w:trHeight w:val="331"/>
        </w:trPr>
        <w:tc>
          <w:tcPr>
            <w:tcW w:w="7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77480" w:rsidRPr="00477480" w:rsidRDefault="00477480" w:rsidP="00477480">
            <w:pPr>
              <w:spacing w:after="0" w:line="240" w:lineRule="auto"/>
              <w:textAlignment w:val="bottom"/>
              <w:rPr>
                <w:rFonts w:eastAsia="Times New Roman" w:cs="Arial"/>
                <w:lang w:eastAsia="en-AU"/>
              </w:rPr>
            </w:pPr>
            <w:r w:rsidRPr="00477480">
              <w:rPr>
                <w:rFonts w:eastAsia="Times New Roman" w:cs="Arial"/>
                <w:color w:val="000000"/>
                <w:kern w:val="24"/>
                <w:lang w:eastAsia="en-AU"/>
              </w:rPr>
              <w:t xml:space="preserve">I have a clear understanding of what is expected of me </w:t>
            </w:r>
          </w:p>
        </w:tc>
        <w:tc>
          <w:tcPr>
            <w:tcW w:w="746"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9C0006"/>
                <w:kern w:val="24"/>
                <w:lang w:eastAsia="en-AU"/>
              </w:rPr>
              <w:t>75%</w:t>
            </w:r>
          </w:p>
        </w:tc>
        <w:tc>
          <w:tcPr>
            <w:tcW w:w="746"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006100"/>
                <w:kern w:val="24"/>
                <w:lang w:eastAsia="en-AU"/>
              </w:rPr>
              <w:t>95%</w:t>
            </w:r>
          </w:p>
        </w:tc>
      </w:tr>
      <w:tr w:rsidR="00477480" w:rsidRPr="00477480" w:rsidTr="00775504">
        <w:trPr>
          <w:trHeight w:val="662"/>
        </w:trPr>
        <w:tc>
          <w:tcPr>
            <w:tcW w:w="7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77480" w:rsidRPr="00477480" w:rsidRDefault="00477480" w:rsidP="00477480">
            <w:pPr>
              <w:spacing w:after="0" w:line="240" w:lineRule="auto"/>
              <w:textAlignment w:val="bottom"/>
              <w:rPr>
                <w:rFonts w:eastAsia="Times New Roman" w:cs="Arial"/>
                <w:lang w:eastAsia="en-AU"/>
              </w:rPr>
            </w:pPr>
            <w:r w:rsidRPr="00477480">
              <w:rPr>
                <w:rFonts w:eastAsia="Times New Roman" w:cs="Arial"/>
                <w:color w:val="000000"/>
                <w:kern w:val="24"/>
                <w:lang w:eastAsia="en-AU"/>
              </w:rPr>
              <w:t xml:space="preserve">My Immediate manager/supervisor does a good job at building the team, recognising achievement etc. </w:t>
            </w:r>
          </w:p>
        </w:tc>
        <w:tc>
          <w:tcPr>
            <w:tcW w:w="746"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9C0006"/>
                <w:kern w:val="24"/>
                <w:lang w:eastAsia="en-AU"/>
              </w:rPr>
              <w:t>63%</w:t>
            </w:r>
          </w:p>
        </w:tc>
        <w:tc>
          <w:tcPr>
            <w:tcW w:w="746"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006100"/>
                <w:kern w:val="24"/>
                <w:lang w:eastAsia="en-AU"/>
              </w:rPr>
              <w:t>83%</w:t>
            </w:r>
          </w:p>
        </w:tc>
      </w:tr>
      <w:tr w:rsidR="00477480" w:rsidRPr="00477480" w:rsidTr="00775504">
        <w:trPr>
          <w:trHeight w:val="331"/>
        </w:trPr>
        <w:tc>
          <w:tcPr>
            <w:tcW w:w="71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477480" w:rsidRPr="00477480" w:rsidRDefault="00477480" w:rsidP="00477480">
            <w:pPr>
              <w:spacing w:after="0" w:line="240" w:lineRule="auto"/>
              <w:textAlignment w:val="bottom"/>
              <w:rPr>
                <w:rFonts w:eastAsia="Times New Roman" w:cs="Arial"/>
                <w:lang w:eastAsia="en-AU"/>
              </w:rPr>
            </w:pPr>
            <w:r w:rsidRPr="00477480">
              <w:rPr>
                <w:rFonts w:eastAsia="Times New Roman" w:cs="Arial"/>
                <w:color w:val="000000"/>
                <w:kern w:val="24"/>
                <w:lang w:eastAsia="en-AU"/>
              </w:rPr>
              <w:t xml:space="preserve">I can see a clear link between my work and our company’s strategy </w:t>
            </w:r>
          </w:p>
        </w:tc>
        <w:tc>
          <w:tcPr>
            <w:tcW w:w="746" w:type="dxa"/>
            <w:tcBorders>
              <w:top w:val="single" w:sz="4" w:space="0" w:color="000000"/>
              <w:left w:val="single" w:sz="4" w:space="0" w:color="000000"/>
              <w:bottom w:val="single" w:sz="4" w:space="0" w:color="000000"/>
              <w:right w:val="single" w:sz="4" w:space="0" w:color="000000"/>
            </w:tcBorders>
            <w:shd w:val="clear" w:color="auto" w:fill="FFC7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9C0006"/>
                <w:kern w:val="24"/>
                <w:lang w:eastAsia="en-AU"/>
              </w:rPr>
              <w:t>38%</w:t>
            </w:r>
          </w:p>
        </w:tc>
        <w:tc>
          <w:tcPr>
            <w:tcW w:w="746" w:type="dxa"/>
            <w:tcBorders>
              <w:top w:val="single" w:sz="4" w:space="0" w:color="000000"/>
              <w:left w:val="single" w:sz="4" w:space="0" w:color="000000"/>
              <w:bottom w:val="single" w:sz="4" w:space="0" w:color="000000"/>
              <w:right w:val="single" w:sz="4" w:space="0" w:color="000000"/>
            </w:tcBorders>
            <w:shd w:val="clear" w:color="auto" w:fill="C6EFCE"/>
            <w:tcMar>
              <w:top w:w="15" w:type="dxa"/>
              <w:left w:w="15" w:type="dxa"/>
              <w:bottom w:w="0" w:type="dxa"/>
              <w:right w:w="15" w:type="dxa"/>
            </w:tcMar>
            <w:vAlign w:val="center"/>
            <w:hideMark/>
          </w:tcPr>
          <w:p w:rsidR="00477480" w:rsidRPr="00477480" w:rsidRDefault="00477480" w:rsidP="00477480">
            <w:pPr>
              <w:spacing w:after="0" w:line="240" w:lineRule="auto"/>
              <w:jc w:val="center"/>
              <w:textAlignment w:val="center"/>
              <w:rPr>
                <w:rFonts w:eastAsia="Times New Roman" w:cs="Arial"/>
                <w:lang w:eastAsia="en-AU"/>
              </w:rPr>
            </w:pPr>
            <w:r w:rsidRPr="00477480">
              <w:rPr>
                <w:rFonts w:eastAsia="Times New Roman" w:cs="Arial"/>
                <w:color w:val="006100"/>
                <w:kern w:val="24"/>
                <w:lang w:eastAsia="en-AU"/>
              </w:rPr>
              <w:t>91%</w:t>
            </w:r>
          </w:p>
        </w:tc>
      </w:tr>
    </w:tbl>
    <w:p w:rsidR="00477480" w:rsidRDefault="00477480" w:rsidP="006A43BB">
      <w:pPr>
        <w:spacing w:after="0" w:line="240" w:lineRule="auto"/>
        <w:ind w:left="643"/>
      </w:pPr>
    </w:p>
    <w:p w:rsidR="00A425D5" w:rsidRPr="00644325" w:rsidRDefault="00A425D5" w:rsidP="006A43BB">
      <w:pPr>
        <w:ind w:left="643" w:right="283"/>
      </w:pPr>
      <w:r>
        <w:tab/>
      </w:r>
      <w:r w:rsidRPr="00644325">
        <w:tab/>
      </w:r>
    </w:p>
    <w:p w:rsidR="00B63CF3" w:rsidRPr="00644325" w:rsidRDefault="00B63CF3" w:rsidP="00B63CF3">
      <w:pPr>
        <w:numPr>
          <w:ilvl w:val="0"/>
          <w:numId w:val="1"/>
        </w:numPr>
        <w:tabs>
          <w:tab w:val="left" w:pos="360"/>
        </w:tabs>
        <w:overflowPunct w:val="0"/>
        <w:autoSpaceDE w:val="0"/>
        <w:autoSpaceDN w:val="0"/>
        <w:adjustRightInd w:val="0"/>
        <w:spacing w:after="0" w:line="240" w:lineRule="auto"/>
        <w:textAlignment w:val="baseline"/>
      </w:pPr>
      <w:r w:rsidRPr="00644325">
        <w:rPr>
          <w:b/>
        </w:rPr>
        <w:t>Business Assurance Transformation</w:t>
      </w:r>
      <w:r w:rsidR="00644325" w:rsidRPr="00644325">
        <w:rPr>
          <w:b/>
        </w:rPr>
        <w:t>/Change Management</w:t>
      </w:r>
      <w:r w:rsidRPr="00644325">
        <w:rPr>
          <w:b/>
        </w:rPr>
        <w:t xml:space="preserve"> </w:t>
      </w:r>
      <w:r w:rsidRPr="00644325">
        <w:t>– April 09 to October 10</w:t>
      </w:r>
      <w:r w:rsidR="00281063">
        <w:t xml:space="preserve"> </w:t>
      </w:r>
      <w:r w:rsidR="00353177">
        <w:t>–</w:t>
      </w:r>
      <w:r w:rsidR="00281063">
        <w:t xml:space="preserve"> </w:t>
      </w:r>
      <w:r w:rsidR="00353177">
        <w:t xml:space="preserve">Following the </w:t>
      </w:r>
      <w:proofErr w:type="spellStart"/>
      <w:r w:rsidR="00353177">
        <w:t>Tenix</w:t>
      </w:r>
      <w:proofErr w:type="spellEnd"/>
      <w:r w:rsidR="00353177">
        <w:t xml:space="preserve">/BAE Systems merger integrate 5 </w:t>
      </w:r>
      <w:r w:rsidR="00823F50">
        <w:t>standalone</w:t>
      </w:r>
      <w:r w:rsidR="00353177">
        <w:t xml:space="preserve"> Q</w:t>
      </w:r>
      <w:r w:rsidR="00823F50">
        <w:t xml:space="preserve">uality </w:t>
      </w:r>
      <w:r w:rsidR="00353177">
        <w:t>M</w:t>
      </w:r>
      <w:r w:rsidR="00823F50">
        <w:t xml:space="preserve">anagement </w:t>
      </w:r>
      <w:r w:rsidR="00353177">
        <w:t>S</w:t>
      </w:r>
      <w:r w:rsidR="00823F50">
        <w:t>ystems (QMS)</w:t>
      </w:r>
      <w:r w:rsidR="00353177">
        <w:t xml:space="preserve"> into one Business Management System (BMS). The outcome was a “single source of truth” having multiple views of content with a powerful search engine. This enabled the streamlining of business process through an effective Bu</w:t>
      </w:r>
      <w:r w:rsidR="00CA6DEC">
        <w:t>siness Process Council</w:t>
      </w:r>
      <w:r w:rsidR="007B7602">
        <w:t xml:space="preserve"> (BPC)</w:t>
      </w:r>
      <w:r w:rsidR="00177DBC">
        <w:t xml:space="preserve"> governing BMS content</w:t>
      </w:r>
      <w:r w:rsidR="007B7602">
        <w:t>.</w:t>
      </w:r>
      <w:r w:rsidR="00177DBC">
        <w:t xml:space="preserve"> </w:t>
      </w:r>
      <w:r w:rsidR="007B7602">
        <w:t xml:space="preserve">Deployment </w:t>
      </w:r>
      <w:r w:rsidR="00177DBC">
        <w:t>of an</w:t>
      </w:r>
      <w:r w:rsidR="007B7602">
        <w:t xml:space="preserve"> Operational Framework ensuring </w:t>
      </w:r>
      <w:r w:rsidR="001A0506">
        <w:t xml:space="preserve">compliance </w:t>
      </w:r>
      <w:r w:rsidR="009049D7">
        <w:t xml:space="preserve">to </w:t>
      </w:r>
      <w:r w:rsidR="007B7602">
        <w:t>global governance</w:t>
      </w:r>
      <w:r w:rsidR="009049D7">
        <w:t xml:space="preserve"> requirements was included in this transformation.</w:t>
      </w:r>
    </w:p>
    <w:p w:rsidR="00B63CF3" w:rsidRPr="00644325" w:rsidRDefault="00B63CF3" w:rsidP="00644325">
      <w:pPr>
        <w:overflowPunct w:val="0"/>
        <w:autoSpaceDE w:val="0"/>
        <w:autoSpaceDN w:val="0"/>
        <w:adjustRightInd w:val="0"/>
        <w:spacing w:after="0" w:line="240" w:lineRule="auto"/>
        <w:textAlignment w:val="baseline"/>
      </w:pPr>
    </w:p>
    <w:p w:rsidR="00644325" w:rsidRDefault="00644325" w:rsidP="00644325">
      <w:pPr>
        <w:overflowPunct w:val="0"/>
        <w:autoSpaceDE w:val="0"/>
        <w:autoSpaceDN w:val="0"/>
        <w:adjustRightInd w:val="0"/>
        <w:spacing w:after="0" w:line="240" w:lineRule="auto"/>
        <w:textAlignment w:val="baseline"/>
        <w:rPr>
          <w:rFonts w:ascii="Arial" w:hAnsi="Arial"/>
        </w:rPr>
      </w:pPr>
    </w:p>
    <w:p w:rsidR="00644325" w:rsidRPr="00644325" w:rsidRDefault="00644325" w:rsidP="00644325">
      <w:pPr>
        <w:overflowPunct w:val="0"/>
        <w:autoSpaceDE w:val="0"/>
        <w:autoSpaceDN w:val="0"/>
        <w:adjustRightInd w:val="0"/>
        <w:spacing w:after="0" w:line="240" w:lineRule="auto"/>
        <w:textAlignment w:val="baseline"/>
      </w:pPr>
    </w:p>
    <w:p w:rsidR="00192DDC" w:rsidRDefault="00022906" w:rsidP="00B63CF3">
      <w:pPr>
        <w:pStyle w:val="ListParagraph"/>
        <w:numPr>
          <w:ilvl w:val="0"/>
          <w:numId w:val="1"/>
        </w:numPr>
        <w:overflowPunct w:val="0"/>
        <w:autoSpaceDE w:val="0"/>
        <w:autoSpaceDN w:val="0"/>
        <w:adjustRightInd w:val="0"/>
        <w:spacing w:after="0" w:line="240" w:lineRule="auto"/>
        <w:textAlignment w:val="baseline"/>
        <w:sectPr w:rsidR="00192DDC" w:rsidSect="00237F91">
          <w:type w:val="continuous"/>
          <w:pgSz w:w="11906" w:h="16838"/>
          <w:pgMar w:top="720" w:right="720" w:bottom="720" w:left="720" w:header="709" w:footer="1417" w:gutter="0"/>
          <w:cols w:space="708"/>
          <w:docGrid w:linePitch="360"/>
        </w:sectPr>
      </w:pPr>
      <w:r w:rsidRPr="00644325">
        <w:rPr>
          <w:b/>
        </w:rPr>
        <w:t>Military Vehicle</w:t>
      </w:r>
      <w:r w:rsidR="00B63CF3" w:rsidRPr="00644325">
        <w:rPr>
          <w:b/>
        </w:rPr>
        <w:t>s Transformation</w:t>
      </w:r>
      <w:r w:rsidR="00644325">
        <w:rPr>
          <w:b/>
        </w:rPr>
        <w:t>/Change Management</w:t>
      </w:r>
      <w:r w:rsidR="00B63CF3" w:rsidRPr="00644325">
        <w:t xml:space="preserve"> </w:t>
      </w:r>
      <w:r w:rsidRPr="00644325">
        <w:t>– April 96 to August 97</w:t>
      </w:r>
      <w:r w:rsidR="00CB5DF2">
        <w:t xml:space="preserve"> </w:t>
      </w:r>
      <w:r w:rsidR="00281063">
        <w:t>–</w:t>
      </w:r>
      <w:r w:rsidR="00CB5DF2">
        <w:t xml:space="preserve"> </w:t>
      </w:r>
      <w:r w:rsidR="00281063">
        <w:t>Over a twelve month period transformed the Perentie vehicle production line from Defence Quality Assurance (DQA) threatening to remove ISO 9001 accreditation to the Customer Program Director commenting that the vehicles were the best he had ever seen presented for acceptance.</w:t>
      </w:r>
      <w:r w:rsidR="00823F50">
        <w:t xml:space="preserve"> The transformation involved reducing headcount, streamlining production processes and restructuring the production work teams/cells.</w:t>
      </w:r>
    </w:p>
    <w:p w:rsidR="00652B03" w:rsidRDefault="00652B03" w:rsidP="00BF4614"/>
    <w:sectPr w:rsidR="00652B03" w:rsidSect="00A425D5">
      <w:type w:val="continuous"/>
      <w:pgSz w:w="11906" w:h="16838"/>
      <w:pgMar w:top="720" w:right="720" w:bottom="720" w:left="720"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FA1" w:rsidRDefault="00F87FA1" w:rsidP="00783165">
      <w:pPr>
        <w:spacing w:after="0" w:line="240" w:lineRule="auto"/>
      </w:pPr>
      <w:r>
        <w:separator/>
      </w:r>
    </w:p>
  </w:endnote>
  <w:endnote w:type="continuationSeparator" w:id="0">
    <w:p w:rsidR="00F87FA1" w:rsidRDefault="00F87FA1" w:rsidP="0078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165" w:rsidRDefault="00783165" w:rsidP="00314E64">
    <w:pPr>
      <w:pStyle w:val="Footer"/>
      <w:jc w:val="center"/>
    </w:pPr>
    <w:r w:rsidRPr="00094B96">
      <w:rPr>
        <w:b/>
        <w:color w:val="00B0F0"/>
      </w:rPr>
      <w:t xml:space="preserve">Aboyne Analytics </w:t>
    </w:r>
    <w:r w:rsidR="00BF510B">
      <w:rPr>
        <w:b/>
        <w:color w:val="00B0F0"/>
      </w:rPr>
      <w:t>Pty Ltd</w:t>
    </w:r>
    <w:r w:rsidR="00BF4614">
      <w:t>| 15 Nu</w:t>
    </w:r>
    <w:r>
      <w:t>mu</w:t>
    </w:r>
    <w:r w:rsidR="00BF4614">
      <w:t>r</w:t>
    </w:r>
    <w:r w:rsidR="00273CF0">
      <w:t>kah Court | Greenwith | SA | 5125</w:t>
    </w:r>
    <w:r w:rsidR="00BF4614">
      <w:t xml:space="preserve"> | ABN:  50605692902</w:t>
    </w:r>
  </w:p>
  <w:p w:rsidR="00783165" w:rsidRDefault="00314E64" w:rsidP="00314E64">
    <w:pPr>
      <w:pStyle w:val="Footer"/>
      <w:jc w:val="center"/>
    </w:pPr>
    <w:r>
      <w:t>Mobile: 0414 519 775 | Email:</w:t>
    </w:r>
    <w:r w:rsidRPr="00094B96">
      <w:t xml:space="preserve">  </w:t>
    </w:r>
    <w:hyperlink r:id="rId1" w:history="1">
      <w:r w:rsidRPr="00094B96">
        <w:rPr>
          <w:rStyle w:val="Hyperlink"/>
          <w:color w:val="auto"/>
        </w:rPr>
        <w:t>phil.mcallan@aboyneanalytics.com</w:t>
      </w:r>
    </w:hyperlink>
    <w:r w:rsidR="00BF4614">
      <w:rPr>
        <w:rStyle w:val="Hyperlink"/>
        <w:color w:val="auto"/>
      </w:rPr>
      <w:t>.au</w:t>
    </w:r>
    <w:r w:rsidR="00BF4614">
      <w:t xml:space="preserve"> | www.aboyneanalytics.com.au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FA1" w:rsidRDefault="00F87FA1" w:rsidP="00783165">
      <w:pPr>
        <w:spacing w:after="0" w:line="240" w:lineRule="auto"/>
      </w:pPr>
      <w:r>
        <w:separator/>
      </w:r>
    </w:p>
  </w:footnote>
  <w:footnote w:type="continuationSeparator" w:id="0">
    <w:p w:rsidR="00F87FA1" w:rsidRDefault="00F87FA1" w:rsidP="00783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8607D5F"/>
    <w:multiLevelType w:val="hybridMultilevel"/>
    <w:tmpl w:val="1EFADB98"/>
    <w:lvl w:ilvl="0" w:tplc="0C090001">
      <w:start w:val="1"/>
      <w:numFmt w:val="bullet"/>
      <w:lvlText w:val=""/>
      <w:lvlJc w:val="left"/>
      <w:pPr>
        <w:ind w:left="1003" w:hanging="360"/>
      </w:pPr>
      <w:rPr>
        <w:rFonts w:ascii="Symbol" w:hAnsi="Symbo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 w15:restartNumberingAfterBreak="0">
    <w:nsid w:val="79405ADC"/>
    <w:multiLevelType w:val="hybridMultilevel"/>
    <w:tmpl w:val="C5FE5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65"/>
    <w:rsid w:val="00022906"/>
    <w:rsid w:val="00031F8D"/>
    <w:rsid w:val="00094B96"/>
    <w:rsid w:val="000C386A"/>
    <w:rsid w:val="001206CC"/>
    <w:rsid w:val="00132B8E"/>
    <w:rsid w:val="00151EDE"/>
    <w:rsid w:val="0016511A"/>
    <w:rsid w:val="00177DBC"/>
    <w:rsid w:val="00192DDC"/>
    <w:rsid w:val="001A0506"/>
    <w:rsid w:val="001A18DF"/>
    <w:rsid w:val="001C75C1"/>
    <w:rsid w:val="002160A5"/>
    <w:rsid w:val="002250CF"/>
    <w:rsid w:val="00233EFA"/>
    <w:rsid w:val="00237F91"/>
    <w:rsid w:val="00263936"/>
    <w:rsid w:val="00273CF0"/>
    <w:rsid w:val="00281063"/>
    <w:rsid w:val="00295ADF"/>
    <w:rsid w:val="002E7A60"/>
    <w:rsid w:val="003043DF"/>
    <w:rsid w:val="00306E22"/>
    <w:rsid w:val="00314E64"/>
    <w:rsid w:val="00316E85"/>
    <w:rsid w:val="00340709"/>
    <w:rsid w:val="00353177"/>
    <w:rsid w:val="003759D1"/>
    <w:rsid w:val="0038570D"/>
    <w:rsid w:val="003F3A0D"/>
    <w:rsid w:val="00405606"/>
    <w:rsid w:val="00436574"/>
    <w:rsid w:val="00454BAC"/>
    <w:rsid w:val="0046138D"/>
    <w:rsid w:val="00471C28"/>
    <w:rsid w:val="00477480"/>
    <w:rsid w:val="004A476A"/>
    <w:rsid w:val="004C4ACE"/>
    <w:rsid w:val="004C5BB7"/>
    <w:rsid w:val="0050045D"/>
    <w:rsid w:val="00510C11"/>
    <w:rsid w:val="00572AE9"/>
    <w:rsid w:val="00575377"/>
    <w:rsid w:val="006046EB"/>
    <w:rsid w:val="00644325"/>
    <w:rsid w:val="00652B03"/>
    <w:rsid w:val="006A43BB"/>
    <w:rsid w:val="006D7304"/>
    <w:rsid w:val="006E6AD2"/>
    <w:rsid w:val="007204DC"/>
    <w:rsid w:val="00725D83"/>
    <w:rsid w:val="00726561"/>
    <w:rsid w:val="00756897"/>
    <w:rsid w:val="00763FB1"/>
    <w:rsid w:val="0077288E"/>
    <w:rsid w:val="00775504"/>
    <w:rsid w:val="00783165"/>
    <w:rsid w:val="007B0D4B"/>
    <w:rsid w:val="007B7602"/>
    <w:rsid w:val="007E6B6E"/>
    <w:rsid w:val="007F5E45"/>
    <w:rsid w:val="0082064C"/>
    <w:rsid w:val="00823F50"/>
    <w:rsid w:val="00835C1B"/>
    <w:rsid w:val="00841618"/>
    <w:rsid w:val="00894907"/>
    <w:rsid w:val="00897ADD"/>
    <w:rsid w:val="008A3D1A"/>
    <w:rsid w:val="008C1081"/>
    <w:rsid w:val="008D6327"/>
    <w:rsid w:val="008E051D"/>
    <w:rsid w:val="008E4E02"/>
    <w:rsid w:val="009049D7"/>
    <w:rsid w:val="0092251E"/>
    <w:rsid w:val="00927440"/>
    <w:rsid w:val="009648CB"/>
    <w:rsid w:val="00971CBF"/>
    <w:rsid w:val="009A50AC"/>
    <w:rsid w:val="009D50AA"/>
    <w:rsid w:val="009E456C"/>
    <w:rsid w:val="009F0A47"/>
    <w:rsid w:val="00A425D5"/>
    <w:rsid w:val="00A46E96"/>
    <w:rsid w:val="00A92C9C"/>
    <w:rsid w:val="00AC5B04"/>
    <w:rsid w:val="00AD1CE4"/>
    <w:rsid w:val="00AF7D9B"/>
    <w:rsid w:val="00B12774"/>
    <w:rsid w:val="00B33BB7"/>
    <w:rsid w:val="00B63CF3"/>
    <w:rsid w:val="00B75CD8"/>
    <w:rsid w:val="00B77DD5"/>
    <w:rsid w:val="00BA1AD2"/>
    <w:rsid w:val="00BF4614"/>
    <w:rsid w:val="00BF510B"/>
    <w:rsid w:val="00C35D86"/>
    <w:rsid w:val="00C5086E"/>
    <w:rsid w:val="00C57495"/>
    <w:rsid w:val="00C74212"/>
    <w:rsid w:val="00C761DF"/>
    <w:rsid w:val="00CA433A"/>
    <w:rsid w:val="00CA48C3"/>
    <w:rsid w:val="00CA6DEC"/>
    <w:rsid w:val="00CB5DF2"/>
    <w:rsid w:val="00CE3A61"/>
    <w:rsid w:val="00CE7E69"/>
    <w:rsid w:val="00CF1CDF"/>
    <w:rsid w:val="00CF4E65"/>
    <w:rsid w:val="00D05B5B"/>
    <w:rsid w:val="00D11353"/>
    <w:rsid w:val="00D44FB2"/>
    <w:rsid w:val="00D55BDD"/>
    <w:rsid w:val="00D6647A"/>
    <w:rsid w:val="00D86BB1"/>
    <w:rsid w:val="00DA423D"/>
    <w:rsid w:val="00DC28B8"/>
    <w:rsid w:val="00DD2DBC"/>
    <w:rsid w:val="00DF70C9"/>
    <w:rsid w:val="00E136AA"/>
    <w:rsid w:val="00E806C4"/>
    <w:rsid w:val="00EC0605"/>
    <w:rsid w:val="00EE1014"/>
    <w:rsid w:val="00F15BAA"/>
    <w:rsid w:val="00F25C6E"/>
    <w:rsid w:val="00F81726"/>
    <w:rsid w:val="00F87FA1"/>
    <w:rsid w:val="00FF001D"/>
    <w:rsid w:val="00FF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966A4-6869-429B-9BC5-BE3B4B91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16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783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165"/>
  </w:style>
  <w:style w:type="paragraph" w:styleId="Footer">
    <w:name w:val="footer"/>
    <w:basedOn w:val="Normal"/>
    <w:link w:val="FooterChar"/>
    <w:uiPriority w:val="99"/>
    <w:unhideWhenUsed/>
    <w:rsid w:val="0078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165"/>
  </w:style>
  <w:style w:type="character" w:styleId="Hyperlink">
    <w:name w:val="Hyperlink"/>
    <w:basedOn w:val="DefaultParagraphFont"/>
    <w:uiPriority w:val="99"/>
    <w:unhideWhenUsed/>
    <w:rsid w:val="00783165"/>
    <w:rPr>
      <w:color w:val="0000FF" w:themeColor="hyperlink"/>
      <w:u w:val="single"/>
    </w:rPr>
  </w:style>
  <w:style w:type="paragraph" w:styleId="BalloonText">
    <w:name w:val="Balloon Text"/>
    <w:basedOn w:val="Normal"/>
    <w:link w:val="BalloonTextChar"/>
    <w:uiPriority w:val="99"/>
    <w:semiHidden/>
    <w:unhideWhenUsed/>
    <w:rsid w:val="0031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64"/>
    <w:rPr>
      <w:rFonts w:ascii="Tahoma" w:hAnsi="Tahoma" w:cs="Tahoma"/>
      <w:sz w:val="16"/>
      <w:szCs w:val="16"/>
    </w:rPr>
  </w:style>
  <w:style w:type="table" w:styleId="TableGrid">
    <w:name w:val="Table Grid"/>
    <w:basedOn w:val="TableNormal"/>
    <w:uiPriority w:val="59"/>
    <w:rsid w:val="0082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25D5"/>
    <w:pPr>
      <w:ind w:left="720"/>
      <w:contextualSpacing/>
    </w:pPr>
  </w:style>
  <w:style w:type="paragraph" w:styleId="NoSpacing">
    <w:name w:val="No Spacing"/>
    <w:uiPriority w:val="1"/>
    <w:qFormat/>
    <w:rsid w:val="00192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2569">
      <w:bodyDiv w:val="1"/>
      <w:marLeft w:val="0"/>
      <w:marRight w:val="0"/>
      <w:marTop w:val="0"/>
      <w:marBottom w:val="0"/>
      <w:divBdr>
        <w:top w:val="none" w:sz="0" w:space="0" w:color="auto"/>
        <w:left w:val="none" w:sz="0" w:space="0" w:color="auto"/>
        <w:bottom w:val="none" w:sz="0" w:space="0" w:color="auto"/>
        <w:right w:val="none" w:sz="0" w:space="0" w:color="auto"/>
      </w:divBdr>
    </w:div>
    <w:div w:id="15930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hil.mcallan@aboyneanaly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9579-A2F2-43DC-8E86-E3F03509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BAE Systems Australia Limited</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PASCOE, Alex</dc:creator>
  <cp:lastModifiedBy>Phil McAllan</cp:lastModifiedBy>
  <cp:revision>1</cp:revision>
  <cp:lastPrinted>2016-05-22T10:19:00Z</cp:lastPrinted>
  <dcterms:created xsi:type="dcterms:W3CDTF">2018-09-06T04:09:00Z</dcterms:created>
  <dcterms:modified xsi:type="dcterms:W3CDTF">2018-09-06T04:09:00Z</dcterms:modified>
</cp:coreProperties>
</file>